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61E23">
      <w:pPr>
        <w:jc w:val="center"/>
        <w:rPr>
          <w:rFonts w:ascii="Times New Roman" w:hAnsi="Times New Roman" w:cs="Times New Roman"/>
          <w:sz w:val="36"/>
          <w:szCs w:val="36"/>
        </w:rPr>
      </w:pPr>
      <w:r>
        <w:rPr>
          <w:rFonts w:ascii="Times New Roman" w:hAnsi="Times New Roman" w:cs="Times New Roman"/>
          <w:sz w:val="36"/>
          <w:szCs w:val="36"/>
        </w:rPr>
        <w:t>采购需求</w:t>
      </w:r>
    </w:p>
    <w:p w14:paraId="1EA154E8">
      <w:pPr>
        <w:tabs>
          <w:tab w:val="left" w:pos="1135"/>
        </w:tabs>
        <w:ind w:firstLine="420" w:firstLineChars="200"/>
        <w:rPr>
          <w:rFonts w:ascii="Times New Roman" w:hAnsi="Times New Roman" w:cs="Times New Roman"/>
        </w:rPr>
      </w:pPr>
      <w:bookmarkStart w:id="0" w:name="_Toc477179514"/>
      <w:bookmarkStart w:id="1" w:name="_Toc477179595"/>
      <w:r>
        <w:rPr>
          <w:rFonts w:ascii="Times New Roman" w:hAnsi="Times New Roman" w:cs="Times New Roman"/>
        </w:rPr>
        <w:t>本次采购为《</w:t>
      </w:r>
      <w:r>
        <w:rPr>
          <w:rFonts w:hint="eastAsia" w:ascii="Times New Roman" w:hAnsi="Times New Roman" w:cs="Times New Roman"/>
        </w:rPr>
        <w:t>西南油气田分公司成都天然气化工总厂2025-2026年威远日处理100方气田水伴生资源综合利用与达标处理试验装置运维项目物资和劳务综合采购文件</w:t>
      </w:r>
      <w:r>
        <w:rPr>
          <w:rFonts w:ascii="Times New Roman" w:hAnsi="Times New Roman" w:cs="Times New Roman"/>
        </w:rPr>
        <w:t>》，需完成以下工作。</w:t>
      </w:r>
    </w:p>
    <w:bookmarkEnd w:id="0"/>
    <w:bookmarkEnd w:id="1"/>
    <w:p w14:paraId="2E43105D">
      <w:pPr>
        <w:pStyle w:val="2"/>
        <w:rPr>
          <w:rFonts w:ascii="Times New Roman" w:hAnsi="Times New Roman"/>
          <w:bCs/>
        </w:rPr>
      </w:pPr>
      <w:bookmarkStart w:id="2" w:name="_Toc27918"/>
      <w:r>
        <w:rPr>
          <w:rFonts w:ascii="Times New Roman" w:hAnsi="Times New Roman"/>
          <w:bCs/>
        </w:rPr>
        <w:t>1．配备生产运行团队</w:t>
      </w:r>
      <w:bookmarkEnd w:id="2"/>
      <w:r>
        <w:rPr>
          <w:rFonts w:hint="eastAsia" w:ascii="Times New Roman" w:hAnsi="Times New Roman"/>
          <w:bCs/>
        </w:rPr>
        <w:t>，提供运行</w:t>
      </w:r>
      <w:r>
        <w:rPr>
          <w:rFonts w:hint="eastAsia" w:ascii="Times New Roman" w:hAnsi="Times New Roman"/>
          <w:bCs/>
          <w:lang w:val="en-US"/>
        </w:rPr>
        <w:t>人力资源</w:t>
      </w:r>
      <w:r>
        <w:rPr>
          <w:rFonts w:hint="eastAsia" w:ascii="Times New Roman" w:hAnsi="Times New Roman"/>
          <w:bCs/>
        </w:rPr>
        <w:t>服务</w:t>
      </w:r>
    </w:p>
    <w:p w14:paraId="5DD78F95">
      <w:pPr>
        <w:tabs>
          <w:tab w:val="left" w:pos="1135"/>
        </w:tabs>
        <w:ind w:firstLine="420" w:firstLineChars="200"/>
        <w:rPr>
          <w:rFonts w:ascii="Times New Roman" w:hAnsi="Times New Roman" w:cs="Times New Roman"/>
        </w:rPr>
      </w:pPr>
      <w:r>
        <w:rPr>
          <w:rFonts w:ascii="Times New Roman" w:hAnsi="Times New Roman" w:cs="Times New Roman"/>
        </w:rPr>
        <w:t>（1）派遣经验丰富的生产运行团队，</w:t>
      </w:r>
      <w:r>
        <w:rPr>
          <w:rFonts w:hint="eastAsia" w:ascii="Times New Roman" w:hAnsi="Times New Roman" w:cs="Times New Roman"/>
        </w:rPr>
        <w:t>共计5岗44人，其中：项目负</w:t>
      </w:r>
      <w:bookmarkStart w:id="4" w:name="_GoBack"/>
      <w:bookmarkEnd w:id="4"/>
      <w:r>
        <w:rPr>
          <w:rFonts w:hint="eastAsia" w:ascii="Times New Roman" w:hAnsi="Times New Roman" w:cs="Times New Roman"/>
        </w:rPr>
        <w:t>责人1人，技术主管1人，班长3人，副班长兼技术员3人，分析9人，外操人员21人，内操人员3人，库管1人，机修主管2人。</w:t>
      </w:r>
    </w:p>
    <w:p w14:paraId="31AC3221">
      <w:pPr>
        <w:tabs>
          <w:tab w:val="left" w:pos="1135"/>
        </w:tabs>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装置作业过程中的工艺设备操作、药剂配置加注、日常巡检、工艺数据记录、样品取样、分析检测、参数调整；</w:t>
      </w:r>
    </w:p>
    <w:p w14:paraId="360BDE27">
      <w:pPr>
        <w:tabs>
          <w:tab w:val="left" w:pos="1135"/>
        </w:tabs>
        <w:ind w:firstLine="420" w:firstLineChars="200"/>
        <w:rPr>
          <w:rFonts w:ascii="Times New Roman" w:hAnsi="Times New Roman" w:cs="Times New Roman"/>
        </w:rPr>
      </w:pPr>
      <w:r>
        <w:rPr>
          <w:rFonts w:hint="eastAsia" w:ascii="Times New Roman" w:hAnsi="Times New Roman" w:cs="Times New Roman"/>
        </w:rPr>
        <w:t>（3）监视及测量仪表，设备安全附件，安防设备设施和器材的日常维护维修；</w:t>
      </w:r>
    </w:p>
    <w:p w14:paraId="0056408F">
      <w:pPr>
        <w:tabs>
          <w:tab w:val="left" w:pos="1135"/>
        </w:tabs>
        <w:ind w:firstLine="420" w:firstLineChars="200"/>
        <w:rPr>
          <w:rFonts w:ascii="Times New Roman" w:hAnsi="Times New Roman" w:cs="Times New Roman"/>
        </w:rPr>
      </w:pPr>
      <w:r>
        <w:rPr>
          <w:rFonts w:hint="eastAsia" w:ascii="Times New Roman" w:hAnsi="Times New Roman" w:cs="Times New Roman"/>
        </w:rPr>
        <w:t>（4）分析化验药品的管理和试验室仪器日常使用、设备维护维修、校验；</w:t>
      </w:r>
    </w:p>
    <w:p w14:paraId="07F75EE2">
      <w:pPr>
        <w:tabs>
          <w:tab w:val="left" w:pos="1135"/>
        </w:tabs>
        <w:ind w:firstLine="420" w:firstLineChars="200"/>
        <w:rPr>
          <w:rFonts w:ascii="Times New Roman" w:hAnsi="Times New Roman" w:cs="Times New Roman"/>
        </w:rPr>
      </w:pPr>
      <w:r>
        <w:rPr>
          <w:rFonts w:hint="eastAsia" w:ascii="Times New Roman" w:hAnsi="Times New Roman" w:cs="Times New Roman"/>
        </w:rPr>
        <w:t>（5）产品、固废、危废包装入库等一切运行操作。</w:t>
      </w:r>
    </w:p>
    <w:p w14:paraId="37FFA8AB">
      <w:pPr>
        <w:tabs>
          <w:tab w:val="left" w:pos="1135"/>
        </w:tabs>
        <w:ind w:firstLine="422" w:firstLineChars="200"/>
        <w:outlineLvl w:val="1"/>
        <w:rPr>
          <w:rFonts w:ascii="Times New Roman" w:hAnsi="Times New Roman" w:cs="Times New Roman"/>
          <w:b/>
          <w:bCs/>
        </w:rPr>
      </w:pPr>
      <w:bookmarkStart w:id="3" w:name="_Toc24637"/>
      <w:r>
        <w:rPr>
          <w:rFonts w:ascii="Times New Roman" w:hAnsi="Times New Roman" w:cs="Times New Roman"/>
          <w:b/>
          <w:bCs/>
        </w:rPr>
        <w:t>2．</w:t>
      </w:r>
      <w:bookmarkEnd w:id="3"/>
      <w:r>
        <w:rPr>
          <w:rFonts w:hint="eastAsia" w:ascii="Times New Roman" w:hAnsi="Times New Roman" w:cs="Times New Roman"/>
          <w:b/>
          <w:bCs/>
        </w:rPr>
        <w:t>生产药剂、化验药剂和生产耗材供应</w:t>
      </w:r>
    </w:p>
    <w:p w14:paraId="65F6828C">
      <w:pPr>
        <w:tabs>
          <w:tab w:val="left" w:pos="1135"/>
        </w:tabs>
        <w:ind w:firstLine="420" w:firstLineChars="200"/>
        <w:rPr>
          <w:rFonts w:ascii="Times New Roman" w:hAnsi="Times New Roman" w:cs="Times New Roman"/>
        </w:rPr>
      </w:pPr>
      <w:r>
        <w:rPr>
          <w:rFonts w:hint="eastAsia" w:ascii="Times New Roman" w:hAnsi="Times New Roman" w:cs="Times New Roman"/>
        </w:rPr>
        <w:t>供应部分生产物料（如：氢氧化钠、液碱等）以及试验室药剂、备品备件等。</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521"/>
        <w:gridCol w:w="1194"/>
        <w:gridCol w:w="718"/>
        <w:gridCol w:w="1017"/>
        <w:gridCol w:w="1099"/>
        <w:gridCol w:w="1097"/>
      </w:tblGrid>
      <w:tr w14:paraId="37F5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66" w:type="pct"/>
            <w:shd w:val="clear" w:color="auto" w:fill="auto"/>
            <w:vAlign w:val="center"/>
          </w:tcPr>
          <w:p w14:paraId="3CFB2EF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序号</w:t>
            </w:r>
          </w:p>
        </w:tc>
        <w:tc>
          <w:tcPr>
            <w:tcW w:w="1492" w:type="pct"/>
            <w:shd w:val="clear" w:color="auto" w:fill="auto"/>
            <w:vAlign w:val="center"/>
          </w:tcPr>
          <w:p w14:paraId="0B46A2F7">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名称</w:t>
            </w:r>
          </w:p>
        </w:tc>
        <w:tc>
          <w:tcPr>
            <w:tcW w:w="713" w:type="pct"/>
            <w:shd w:val="clear" w:color="auto" w:fill="auto"/>
            <w:vAlign w:val="center"/>
          </w:tcPr>
          <w:p w14:paraId="2FE6854B">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单位</w:t>
            </w:r>
          </w:p>
        </w:tc>
        <w:tc>
          <w:tcPr>
            <w:tcW w:w="407" w:type="pct"/>
            <w:shd w:val="clear" w:color="auto" w:fill="auto"/>
            <w:vAlign w:val="center"/>
          </w:tcPr>
          <w:p w14:paraId="3994647D">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数量</w:t>
            </w:r>
          </w:p>
        </w:tc>
        <w:tc>
          <w:tcPr>
            <w:tcW w:w="609" w:type="pct"/>
            <w:shd w:val="clear" w:color="auto" w:fill="auto"/>
            <w:vAlign w:val="center"/>
          </w:tcPr>
          <w:p w14:paraId="0CDFEBE0">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单价（元）</w:t>
            </w:r>
          </w:p>
        </w:tc>
        <w:tc>
          <w:tcPr>
            <w:tcW w:w="657" w:type="pct"/>
            <w:shd w:val="clear" w:color="auto" w:fill="auto"/>
            <w:vAlign w:val="center"/>
          </w:tcPr>
          <w:p w14:paraId="0568A966">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总价</w:t>
            </w:r>
            <w:r>
              <w:rPr>
                <w:rFonts w:hint="eastAsia" w:cs="宋体"/>
                <w:color w:val="000000"/>
                <w:sz w:val="22"/>
                <w:szCs w:val="22"/>
                <w:lang w:bidi="ar"/>
              </w:rPr>
              <w:br w:type="textWrapping"/>
            </w:r>
            <w:r>
              <w:rPr>
                <w:rFonts w:hint="eastAsia" w:cs="宋体"/>
                <w:color w:val="000000"/>
                <w:sz w:val="22"/>
                <w:szCs w:val="22"/>
                <w:lang w:bidi="ar"/>
              </w:rPr>
              <w:t>（万元/年）</w:t>
            </w:r>
          </w:p>
        </w:tc>
        <w:tc>
          <w:tcPr>
            <w:tcW w:w="656" w:type="pct"/>
          </w:tcPr>
          <w:p w14:paraId="1B376A4D">
            <w:pPr>
              <w:widowControl/>
              <w:tabs>
                <w:tab w:val="left" w:pos="1135"/>
              </w:tabs>
              <w:spacing w:line="240" w:lineRule="auto"/>
              <w:jc w:val="center"/>
              <w:textAlignment w:val="center"/>
              <w:rPr>
                <w:rFonts w:hint="eastAsia" w:cs="宋体"/>
                <w:color w:val="000000"/>
                <w:sz w:val="22"/>
                <w:szCs w:val="22"/>
                <w:lang w:bidi="ar"/>
              </w:rPr>
            </w:pPr>
          </w:p>
        </w:tc>
      </w:tr>
      <w:tr w14:paraId="1F9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shd w:val="clear" w:color="auto" w:fill="auto"/>
            <w:vAlign w:val="center"/>
          </w:tcPr>
          <w:p w14:paraId="69F7EDDC">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一</w:t>
            </w:r>
          </w:p>
        </w:tc>
        <w:tc>
          <w:tcPr>
            <w:tcW w:w="3221" w:type="pct"/>
            <w:gridSpan w:val="4"/>
            <w:shd w:val="clear" w:color="auto" w:fill="auto"/>
            <w:vAlign w:val="center"/>
          </w:tcPr>
          <w:p w14:paraId="676D0AFA">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易制毒易制爆生产原料和分析药剂供应</w:t>
            </w:r>
          </w:p>
        </w:tc>
        <w:tc>
          <w:tcPr>
            <w:tcW w:w="657" w:type="pct"/>
            <w:shd w:val="clear" w:color="auto" w:fill="auto"/>
            <w:noWrap/>
            <w:vAlign w:val="center"/>
          </w:tcPr>
          <w:p w14:paraId="5D4B14E6">
            <w:pPr>
              <w:widowControl/>
              <w:tabs>
                <w:tab w:val="left" w:pos="1135"/>
              </w:tabs>
              <w:spacing w:line="240" w:lineRule="auto"/>
              <w:jc w:val="center"/>
              <w:textAlignment w:val="center"/>
              <w:rPr>
                <w:rFonts w:hint="eastAsia" w:cs="宋体"/>
                <w:color w:val="000000"/>
                <w:sz w:val="22"/>
                <w:szCs w:val="22"/>
                <w:lang w:bidi="ar"/>
              </w:rPr>
            </w:pPr>
          </w:p>
        </w:tc>
        <w:tc>
          <w:tcPr>
            <w:tcW w:w="656" w:type="pct"/>
          </w:tcPr>
          <w:p w14:paraId="246DB3F7">
            <w:pPr>
              <w:widowControl/>
              <w:tabs>
                <w:tab w:val="left" w:pos="1135"/>
              </w:tabs>
              <w:spacing w:line="240" w:lineRule="auto"/>
              <w:jc w:val="center"/>
              <w:textAlignment w:val="center"/>
              <w:rPr>
                <w:rFonts w:hint="eastAsia" w:cs="宋体"/>
                <w:color w:val="000000"/>
                <w:sz w:val="22"/>
                <w:szCs w:val="22"/>
                <w:lang w:bidi="ar"/>
              </w:rPr>
            </w:pPr>
          </w:p>
        </w:tc>
      </w:tr>
      <w:tr w14:paraId="2883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shd w:val="clear" w:color="auto" w:fill="auto"/>
            <w:vAlign w:val="center"/>
          </w:tcPr>
          <w:p w14:paraId="06BE2D9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（一）</w:t>
            </w:r>
          </w:p>
        </w:tc>
        <w:tc>
          <w:tcPr>
            <w:tcW w:w="3221" w:type="pct"/>
            <w:gridSpan w:val="4"/>
            <w:shd w:val="clear" w:color="auto" w:fill="auto"/>
            <w:vAlign w:val="center"/>
          </w:tcPr>
          <w:p w14:paraId="48E6E14D">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易制毒易制爆生产原料</w:t>
            </w:r>
          </w:p>
        </w:tc>
        <w:tc>
          <w:tcPr>
            <w:tcW w:w="657" w:type="pct"/>
            <w:vMerge w:val="restart"/>
            <w:shd w:val="clear" w:color="auto" w:fill="auto"/>
            <w:noWrap/>
            <w:vAlign w:val="center"/>
          </w:tcPr>
          <w:p w14:paraId="5C5E27B4">
            <w:pPr>
              <w:widowControl/>
              <w:tabs>
                <w:tab w:val="left" w:pos="1135"/>
              </w:tabs>
              <w:spacing w:line="240" w:lineRule="auto"/>
              <w:jc w:val="center"/>
              <w:textAlignment w:val="center"/>
              <w:rPr>
                <w:rFonts w:ascii="FZFSJW--GB1-0" w:hAnsi="FZFSJW--GB1-0" w:eastAsia="FZFSJW--GB1-0" w:cs="FZFSJW--GB1-0"/>
                <w:color w:val="000000"/>
                <w:sz w:val="28"/>
                <w:szCs w:val="28"/>
              </w:rPr>
            </w:pPr>
            <w:r>
              <w:rPr>
                <w:rFonts w:cs="宋体"/>
                <w:color w:val="000000"/>
                <w:sz w:val="22"/>
                <w:szCs w:val="22"/>
                <w:lang w:bidi="ar"/>
              </w:rPr>
              <w:t>157.58</w:t>
            </w:r>
          </w:p>
        </w:tc>
        <w:tc>
          <w:tcPr>
            <w:tcW w:w="656" w:type="pct"/>
            <w:vMerge w:val="restart"/>
          </w:tcPr>
          <w:p w14:paraId="23261157">
            <w:pPr>
              <w:tabs>
                <w:tab w:val="left" w:pos="1135"/>
              </w:tabs>
              <w:rPr>
                <w:rFonts w:hint="eastAsia" w:cs="宋体"/>
                <w:color w:val="000000"/>
                <w:sz w:val="22"/>
                <w:szCs w:val="22"/>
                <w:lang w:bidi="ar"/>
              </w:rPr>
            </w:pPr>
          </w:p>
          <w:p w14:paraId="0673EE22">
            <w:pPr>
              <w:tabs>
                <w:tab w:val="left" w:pos="1135"/>
              </w:tabs>
              <w:jc w:val="left"/>
              <w:rPr>
                <w:rFonts w:hint="eastAsia" w:cs="宋体"/>
                <w:sz w:val="22"/>
                <w:szCs w:val="22"/>
                <w:lang w:bidi="ar"/>
              </w:rPr>
            </w:pPr>
            <w:r>
              <w:rPr>
                <w:rFonts w:hint="eastAsia" w:cs="宋体"/>
                <w:sz w:val="22"/>
                <w:szCs w:val="22"/>
                <w:lang w:bidi="ar"/>
              </w:rPr>
              <w:t>暂估金额，结算时按采购人签认的认质认价和票据凭证，据实结算。</w:t>
            </w:r>
          </w:p>
        </w:tc>
      </w:tr>
      <w:tr w14:paraId="03B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4C2E2E75">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w:t>
            </w:r>
          </w:p>
        </w:tc>
        <w:tc>
          <w:tcPr>
            <w:tcW w:w="1492" w:type="pct"/>
            <w:shd w:val="clear" w:color="auto" w:fill="auto"/>
            <w:vAlign w:val="center"/>
          </w:tcPr>
          <w:p w14:paraId="22B920F6">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盐酸（31%）</w:t>
            </w:r>
          </w:p>
        </w:tc>
        <w:tc>
          <w:tcPr>
            <w:tcW w:w="713" w:type="pct"/>
            <w:shd w:val="clear" w:color="auto" w:fill="auto"/>
            <w:vAlign w:val="center"/>
          </w:tcPr>
          <w:p w14:paraId="33324AC5">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吨/年</w:t>
            </w:r>
          </w:p>
        </w:tc>
        <w:tc>
          <w:tcPr>
            <w:tcW w:w="407" w:type="pct"/>
            <w:shd w:val="clear" w:color="auto" w:fill="auto"/>
            <w:vAlign w:val="center"/>
          </w:tcPr>
          <w:p w14:paraId="2B6B3365">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371.4</w:t>
            </w:r>
          </w:p>
        </w:tc>
        <w:tc>
          <w:tcPr>
            <w:tcW w:w="609" w:type="pct"/>
            <w:shd w:val="clear" w:color="auto" w:fill="auto"/>
            <w:vAlign w:val="center"/>
          </w:tcPr>
          <w:p w14:paraId="4A9F7CA3">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1500</w:t>
            </w:r>
          </w:p>
        </w:tc>
        <w:tc>
          <w:tcPr>
            <w:tcW w:w="657" w:type="pct"/>
            <w:vMerge w:val="continue"/>
            <w:shd w:val="clear" w:color="auto" w:fill="auto"/>
            <w:noWrap/>
            <w:vAlign w:val="center"/>
          </w:tcPr>
          <w:p w14:paraId="637D55F9">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5A582CB6">
            <w:pPr>
              <w:tabs>
                <w:tab w:val="left" w:pos="1135"/>
              </w:tabs>
              <w:spacing w:line="240" w:lineRule="auto"/>
              <w:jc w:val="center"/>
              <w:rPr>
                <w:rFonts w:ascii="FZFSJW--GB1-0" w:hAnsi="FZFSJW--GB1-0" w:eastAsia="FZFSJW--GB1-0" w:cs="FZFSJW--GB1-0"/>
                <w:color w:val="000000"/>
                <w:sz w:val="28"/>
                <w:szCs w:val="28"/>
              </w:rPr>
            </w:pPr>
          </w:p>
        </w:tc>
      </w:tr>
      <w:tr w14:paraId="5D68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4DAD02C8">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w:t>
            </w:r>
          </w:p>
        </w:tc>
        <w:tc>
          <w:tcPr>
            <w:tcW w:w="1492" w:type="pct"/>
            <w:shd w:val="clear" w:color="auto" w:fill="auto"/>
            <w:vAlign w:val="center"/>
          </w:tcPr>
          <w:p w14:paraId="01508E86">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液碱（30%）</w:t>
            </w:r>
          </w:p>
        </w:tc>
        <w:tc>
          <w:tcPr>
            <w:tcW w:w="713" w:type="pct"/>
            <w:shd w:val="clear" w:color="auto" w:fill="auto"/>
            <w:vAlign w:val="center"/>
          </w:tcPr>
          <w:p w14:paraId="0A78525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吨/年</w:t>
            </w:r>
          </w:p>
        </w:tc>
        <w:tc>
          <w:tcPr>
            <w:tcW w:w="407" w:type="pct"/>
            <w:shd w:val="clear" w:color="auto" w:fill="auto"/>
            <w:vAlign w:val="center"/>
          </w:tcPr>
          <w:p w14:paraId="44FACAA3">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396.8</w:t>
            </w:r>
          </w:p>
        </w:tc>
        <w:tc>
          <w:tcPr>
            <w:tcW w:w="609" w:type="pct"/>
            <w:shd w:val="clear" w:color="auto" w:fill="auto"/>
            <w:vAlign w:val="center"/>
          </w:tcPr>
          <w:p w14:paraId="643CB30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2380</w:t>
            </w:r>
          </w:p>
        </w:tc>
        <w:tc>
          <w:tcPr>
            <w:tcW w:w="657" w:type="pct"/>
            <w:vMerge w:val="continue"/>
            <w:shd w:val="clear" w:color="auto" w:fill="auto"/>
            <w:noWrap/>
            <w:vAlign w:val="center"/>
          </w:tcPr>
          <w:p w14:paraId="07AE0E89">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3B704735">
            <w:pPr>
              <w:tabs>
                <w:tab w:val="left" w:pos="1135"/>
              </w:tabs>
              <w:spacing w:line="240" w:lineRule="auto"/>
              <w:jc w:val="center"/>
              <w:rPr>
                <w:rFonts w:ascii="FZFSJW--GB1-0" w:hAnsi="FZFSJW--GB1-0" w:eastAsia="FZFSJW--GB1-0" w:cs="FZFSJW--GB1-0"/>
                <w:color w:val="000000"/>
                <w:sz w:val="28"/>
                <w:szCs w:val="28"/>
              </w:rPr>
            </w:pPr>
          </w:p>
        </w:tc>
      </w:tr>
      <w:tr w14:paraId="19BC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0D256CF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3</w:t>
            </w:r>
          </w:p>
        </w:tc>
        <w:tc>
          <w:tcPr>
            <w:tcW w:w="1492" w:type="pct"/>
            <w:shd w:val="clear" w:color="auto" w:fill="auto"/>
            <w:vAlign w:val="center"/>
          </w:tcPr>
          <w:p w14:paraId="6FD30EA8">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双氧水（30%）</w:t>
            </w:r>
          </w:p>
        </w:tc>
        <w:tc>
          <w:tcPr>
            <w:tcW w:w="713" w:type="pct"/>
            <w:shd w:val="clear" w:color="auto" w:fill="auto"/>
            <w:vAlign w:val="center"/>
          </w:tcPr>
          <w:p w14:paraId="0EE640B0">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吨/年</w:t>
            </w:r>
          </w:p>
        </w:tc>
        <w:tc>
          <w:tcPr>
            <w:tcW w:w="407" w:type="pct"/>
            <w:shd w:val="clear" w:color="auto" w:fill="auto"/>
            <w:vAlign w:val="center"/>
          </w:tcPr>
          <w:p w14:paraId="324C6AF1">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12</w:t>
            </w:r>
          </w:p>
        </w:tc>
        <w:tc>
          <w:tcPr>
            <w:tcW w:w="609" w:type="pct"/>
            <w:shd w:val="clear" w:color="auto" w:fill="auto"/>
            <w:vAlign w:val="center"/>
          </w:tcPr>
          <w:p w14:paraId="38AF729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3500</w:t>
            </w:r>
          </w:p>
        </w:tc>
        <w:tc>
          <w:tcPr>
            <w:tcW w:w="657" w:type="pct"/>
            <w:vMerge w:val="continue"/>
            <w:shd w:val="clear" w:color="auto" w:fill="auto"/>
            <w:noWrap/>
            <w:vAlign w:val="center"/>
          </w:tcPr>
          <w:p w14:paraId="3DCB2EC5">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36CE0C57">
            <w:pPr>
              <w:tabs>
                <w:tab w:val="left" w:pos="1135"/>
              </w:tabs>
              <w:spacing w:line="240" w:lineRule="auto"/>
              <w:jc w:val="center"/>
              <w:rPr>
                <w:rFonts w:ascii="FZFSJW--GB1-0" w:hAnsi="FZFSJW--GB1-0" w:eastAsia="FZFSJW--GB1-0" w:cs="FZFSJW--GB1-0"/>
                <w:color w:val="000000"/>
                <w:sz w:val="28"/>
                <w:szCs w:val="28"/>
              </w:rPr>
            </w:pPr>
          </w:p>
        </w:tc>
      </w:tr>
      <w:tr w14:paraId="4990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66" w:type="pct"/>
            <w:shd w:val="clear" w:color="auto" w:fill="auto"/>
            <w:vAlign w:val="center"/>
          </w:tcPr>
          <w:p w14:paraId="64C116C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（二）</w:t>
            </w:r>
          </w:p>
        </w:tc>
        <w:tc>
          <w:tcPr>
            <w:tcW w:w="3221" w:type="pct"/>
            <w:gridSpan w:val="4"/>
            <w:shd w:val="clear" w:color="auto" w:fill="auto"/>
            <w:vAlign w:val="center"/>
          </w:tcPr>
          <w:p w14:paraId="5E92FE18">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易制毒易制爆分析药剂</w:t>
            </w:r>
          </w:p>
        </w:tc>
        <w:tc>
          <w:tcPr>
            <w:tcW w:w="657" w:type="pct"/>
            <w:vMerge w:val="continue"/>
            <w:shd w:val="clear" w:color="auto" w:fill="auto"/>
            <w:noWrap/>
            <w:vAlign w:val="center"/>
          </w:tcPr>
          <w:p w14:paraId="482AD4F5">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2E38869C">
            <w:pPr>
              <w:tabs>
                <w:tab w:val="left" w:pos="1135"/>
              </w:tabs>
              <w:spacing w:line="240" w:lineRule="auto"/>
              <w:jc w:val="center"/>
              <w:rPr>
                <w:rFonts w:ascii="FZFSJW--GB1-0" w:hAnsi="FZFSJW--GB1-0" w:eastAsia="FZFSJW--GB1-0" w:cs="FZFSJW--GB1-0"/>
                <w:color w:val="000000"/>
                <w:sz w:val="28"/>
                <w:szCs w:val="28"/>
              </w:rPr>
            </w:pPr>
          </w:p>
        </w:tc>
      </w:tr>
      <w:tr w14:paraId="488B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6" w:type="pct"/>
            <w:shd w:val="clear" w:color="auto" w:fill="auto"/>
            <w:vAlign w:val="center"/>
          </w:tcPr>
          <w:p w14:paraId="530A4B3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w:t>
            </w:r>
          </w:p>
        </w:tc>
        <w:tc>
          <w:tcPr>
            <w:tcW w:w="1492" w:type="pct"/>
            <w:shd w:val="clear" w:color="auto" w:fill="auto"/>
            <w:vAlign w:val="center"/>
          </w:tcPr>
          <w:p w14:paraId="4CF55D4B">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盐酸（AR2500mL）</w:t>
            </w:r>
          </w:p>
        </w:tc>
        <w:tc>
          <w:tcPr>
            <w:tcW w:w="713" w:type="pct"/>
            <w:shd w:val="clear" w:color="auto" w:fill="auto"/>
            <w:vAlign w:val="center"/>
          </w:tcPr>
          <w:p w14:paraId="7C08E2E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7BF6B8BF">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15</w:t>
            </w:r>
          </w:p>
        </w:tc>
        <w:tc>
          <w:tcPr>
            <w:tcW w:w="609" w:type="pct"/>
            <w:shd w:val="clear" w:color="auto" w:fill="auto"/>
            <w:vAlign w:val="center"/>
          </w:tcPr>
          <w:p w14:paraId="431A73F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100</w:t>
            </w:r>
          </w:p>
        </w:tc>
        <w:tc>
          <w:tcPr>
            <w:tcW w:w="657" w:type="pct"/>
            <w:vMerge w:val="continue"/>
            <w:shd w:val="clear" w:color="auto" w:fill="auto"/>
            <w:noWrap/>
            <w:vAlign w:val="center"/>
          </w:tcPr>
          <w:p w14:paraId="68E0B3CF">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0F5EF28E">
            <w:pPr>
              <w:tabs>
                <w:tab w:val="left" w:pos="1135"/>
              </w:tabs>
              <w:spacing w:line="240" w:lineRule="auto"/>
              <w:jc w:val="center"/>
              <w:rPr>
                <w:rFonts w:ascii="FZFSJW--GB1-0" w:hAnsi="FZFSJW--GB1-0" w:eastAsia="FZFSJW--GB1-0" w:cs="FZFSJW--GB1-0"/>
                <w:color w:val="000000"/>
                <w:sz w:val="28"/>
                <w:szCs w:val="28"/>
              </w:rPr>
            </w:pPr>
          </w:p>
        </w:tc>
      </w:tr>
      <w:tr w14:paraId="1D9C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3A91A077">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w:t>
            </w:r>
          </w:p>
        </w:tc>
        <w:tc>
          <w:tcPr>
            <w:tcW w:w="1492" w:type="pct"/>
            <w:shd w:val="clear" w:color="auto" w:fill="auto"/>
            <w:vAlign w:val="center"/>
          </w:tcPr>
          <w:p w14:paraId="7FC5DBA7">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硝酸（GR 500mL）</w:t>
            </w:r>
          </w:p>
        </w:tc>
        <w:tc>
          <w:tcPr>
            <w:tcW w:w="713" w:type="pct"/>
            <w:shd w:val="clear" w:color="auto" w:fill="auto"/>
            <w:vAlign w:val="center"/>
          </w:tcPr>
          <w:p w14:paraId="6488A17B">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68A7E9C9">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25</w:t>
            </w:r>
          </w:p>
        </w:tc>
        <w:tc>
          <w:tcPr>
            <w:tcW w:w="609" w:type="pct"/>
            <w:shd w:val="clear" w:color="auto" w:fill="auto"/>
            <w:vAlign w:val="center"/>
          </w:tcPr>
          <w:p w14:paraId="0CC0B8C3">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200</w:t>
            </w:r>
          </w:p>
        </w:tc>
        <w:tc>
          <w:tcPr>
            <w:tcW w:w="657" w:type="pct"/>
            <w:vMerge w:val="continue"/>
            <w:shd w:val="clear" w:color="auto" w:fill="auto"/>
            <w:noWrap/>
            <w:vAlign w:val="center"/>
          </w:tcPr>
          <w:p w14:paraId="587CC42A">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457E695B">
            <w:pPr>
              <w:tabs>
                <w:tab w:val="left" w:pos="1135"/>
              </w:tabs>
              <w:spacing w:line="240" w:lineRule="auto"/>
              <w:jc w:val="center"/>
              <w:rPr>
                <w:rFonts w:ascii="FZFSJW--GB1-0" w:hAnsi="FZFSJW--GB1-0" w:eastAsia="FZFSJW--GB1-0" w:cs="FZFSJW--GB1-0"/>
                <w:color w:val="000000"/>
                <w:sz w:val="28"/>
                <w:szCs w:val="28"/>
              </w:rPr>
            </w:pPr>
          </w:p>
        </w:tc>
      </w:tr>
      <w:tr w14:paraId="3EDA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1E26B8C7">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3</w:t>
            </w:r>
          </w:p>
        </w:tc>
        <w:tc>
          <w:tcPr>
            <w:tcW w:w="1492" w:type="pct"/>
            <w:shd w:val="clear" w:color="auto" w:fill="auto"/>
            <w:vAlign w:val="center"/>
          </w:tcPr>
          <w:p w14:paraId="4E8B7D17">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硫酸（GR 500mL）</w:t>
            </w:r>
          </w:p>
        </w:tc>
        <w:tc>
          <w:tcPr>
            <w:tcW w:w="713" w:type="pct"/>
            <w:shd w:val="clear" w:color="auto" w:fill="auto"/>
            <w:vAlign w:val="center"/>
          </w:tcPr>
          <w:p w14:paraId="584AAA2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436F83D9">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5</w:t>
            </w:r>
          </w:p>
        </w:tc>
        <w:tc>
          <w:tcPr>
            <w:tcW w:w="609" w:type="pct"/>
            <w:shd w:val="clear" w:color="auto" w:fill="auto"/>
            <w:vAlign w:val="center"/>
          </w:tcPr>
          <w:p w14:paraId="2821ED35">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400</w:t>
            </w:r>
          </w:p>
        </w:tc>
        <w:tc>
          <w:tcPr>
            <w:tcW w:w="657" w:type="pct"/>
            <w:vMerge w:val="continue"/>
            <w:shd w:val="clear" w:color="auto" w:fill="auto"/>
            <w:noWrap/>
            <w:vAlign w:val="center"/>
          </w:tcPr>
          <w:p w14:paraId="3895C7C5">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651DAF46">
            <w:pPr>
              <w:tabs>
                <w:tab w:val="left" w:pos="1135"/>
              </w:tabs>
              <w:spacing w:line="240" w:lineRule="auto"/>
              <w:jc w:val="center"/>
              <w:rPr>
                <w:rFonts w:ascii="FZFSJW--GB1-0" w:hAnsi="FZFSJW--GB1-0" w:eastAsia="FZFSJW--GB1-0" w:cs="FZFSJW--GB1-0"/>
                <w:color w:val="000000"/>
                <w:sz w:val="28"/>
                <w:szCs w:val="28"/>
              </w:rPr>
            </w:pPr>
          </w:p>
        </w:tc>
      </w:tr>
      <w:tr w14:paraId="0E0F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6" w:type="pct"/>
            <w:shd w:val="clear" w:color="auto" w:fill="auto"/>
            <w:vAlign w:val="center"/>
          </w:tcPr>
          <w:p w14:paraId="4C67036C">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4</w:t>
            </w:r>
          </w:p>
        </w:tc>
        <w:tc>
          <w:tcPr>
            <w:tcW w:w="1492" w:type="pct"/>
            <w:shd w:val="clear" w:color="auto" w:fill="auto"/>
            <w:vAlign w:val="center"/>
          </w:tcPr>
          <w:p w14:paraId="26FB2CD0">
            <w:pPr>
              <w:widowControl/>
              <w:tabs>
                <w:tab w:val="left" w:pos="1135"/>
              </w:tabs>
              <w:spacing w:line="240" w:lineRule="auto"/>
              <w:textAlignment w:val="center"/>
              <w:rPr>
                <w:rFonts w:hint="eastAsia" w:cs="宋体"/>
                <w:color w:val="000000"/>
                <w:sz w:val="22"/>
                <w:szCs w:val="22"/>
                <w:lang w:bidi="ar"/>
              </w:rPr>
            </w:pPr>
            <w:r>
              <w:rPr>
                <w:rFonts w:hint="eastAsia" w:cs="宋体"/>
                <w:color w:val="000000"/>
                <w:sz w:val="22"/>
                <w:szCs w:val="22"/>
                <w:lang w:bidi="ar"/>
              </w:rPr>
              <w:t>硝酸银（易制爆）≥99.8%（AR 100g）</w:t>
            </w:r>
          </w:p>
        </w:tc>
        <w:tc>
          <w:tcPr>
            <w:tcW w:w="713" w:type="pct"/>
            <w:shd w:val="clear" w:color="auto" w:fill="auto"/>
            <w:vAlign w:val="center"/>
          </w:tcPr>
          <w:p w14:paraId="0CF2F498">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5F9E1434">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15</w:t>
            </w:r>
          </w:p>
        </w:tc>
        <w:tc>
          <w:tcPr>
            <w:tcW w:w="609" w:type="pct"/>
            <w:shd w:val="clear" w:color="auto" w:fill="auto"/>
            <w:vAlign w:val="center"/>
          </w:tcPr>
          <w:p w14:paraId="4E79F671">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800</w:t>
            </w:r>
          </w:p>
        </w:tc>
        <w:tc>
          <w:tcPr>
            <w:tcW w:w="657" w:type="pct"/>
            <w:vMerge w:val="continue"/>
            <w:shd w:val="clear" w:color="auto" w:fill="auto"/>
            <w:noWrap/>
            <w:vAlign w:val="center"/>
          </w:tcPr>
          <w:p w14:paraId="37F027F1">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133908B1">
            <w:pPr>
              <w:tabs>
                <w:tab w:val="left" w:pos="1135"/>
              </w:tabs>
              <w:spacing w:line="240" w:lineRule="auto"/>
              <w:jc w:val="center"/>
              <w:rPr>
                <w:rFonts w:ascii="FZFSJW--GB1-0" w:hAnsi="FZFSJW--GB1-0" w:eastAsia="FZFSJW--GB1-0" w:cs="FZFSJW--GB1-0"/>
                <w:color w:val="000000"/>
                <w:sz w:val="28"/>
                <w:szCs w:val="28"/>
              </w:rPr>
            </w:pPr>
          </w:p>
        </w:tc>
      </w:tr>
      <w:tr w14:paraId="4A4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6" w:type="pct"/>
            <w:shd w:val="clear" w:color="auto" w:fill="auto"/>
            <w:vAlign w:val="center"/>
          </w:tcPr>
          <w:p w14:paraId="785880E4">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5</w:t>
            </w:r>
          </w:p>
        </w:tc>
        <w:tc>
          <w:tcPr>
            <w:tcW w:w="1492" w:type="pct"/>
            <w:shd w:val="clear" w:color="auto" w:fill="auto"/>
            <w:vAlign w:val="center"/>
          </w:tcPr>
          <w:p w14:paraId="76559200">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四氯乙烯（AR 500mL）</w:t>
            </w:r>
          </w:p>
        </w:tc>
        <w:tc>
          <w:tcPr>
            <w:tcW w:w="713" w:type="pct"/>
            <w:shd w:val="clear" w:color="auto" w:fill="auto"/>
            <w:vAlign w:val="center"/>
          </w:tcPr>
          <w:p w14:paraId="4BCF0ED9">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6179769E">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50</w:t>
            </w:r>
          </w:p>
        </w:tc>
        <w:tc>
          <w:tcPr>
            <w:tcW w:w="609" w:type="pct"/>
            <w:shd w:val="clear" w:color="auto" w:fill="auto"/>
            <w:vAlign w:val="center"/>
          </w:tcPr>
          <w:p w14:paraId="0BC878CC">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200</w:t>
            </w:r>
          </w:p>
        </w:tc>
        <w:tc>
          <w:tcPr>
            <w:tcW w:w="657" w:type="pct"/>
            <w:vMerge w:val="continue"/>
            <w:shd w:val="clear" w:color="auto" w:fill="auto"/>
            <w:noWrap/>
            <w:vAlign w:val="center"/>
          </w:tcPr>
          <w:p w14:paraId="24CEE514">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3037083C">
            <w:pPr>
              <w:tabs>
                <w:tab w:val="left" w:pos="1135"/>
              </w:tabs>
              <w:spacing w:line="240" w:lineRule="auto"/>
              <w:jc w:val="center"/>
              <w:rPr>
                <w:rFonts w:ascii="FZFSJW--GB1-0" w:hAnsi="FZFSJW--GB1-0" w:eastAsia="FZFSJW--GB1-0" w:cs="FZFSJW--GB1-0"/>
                <w:color w:val="000000"/>
                <w:sz w:val="28"/>
                <w:szCs w:val="28"/>
              </w:rPr>
            </w:pPr>
          </w:p>
        </w:tc>
      </w:tr>
      <w:tr w14:paraId="6CF0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66" w:type="pct"/>
            <w:shd w:val="clear" w:color="auto" w:fill="auto"/>
            <w:vAlign w:val="center"/>
          </w:tcPr>
          <w:p w14:paraId="1FC613CF">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6</w:t>
            </w:r>
          </w:p>
        </w:tc>
        <w:tc>
          <w:tcPr>
            <w:tcW w:w="1492" w:type="pct"/>
            <w:shd w:val="clear" w:color="auto" w:fill="auto"/>
            <w:vAlign w:val="center"/>
          </w:tcPr>
          <w:p w14:paraId="0CF2B110">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苯（色谱纯100g）</w:t>
            </w:r>
          </w:p>
        </w:tc>
        <w:tc>
          <w:tcPr>
            <w:tcW w:w="713" w:type="pct"/>
            <w:shd w:val="clear" w:color="auto" w:fill="auto"/>
            <w:vAlign w:val="center"/>
          </w:tcPr>
          <w:p w14:paraId="557F6384">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13199B58">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w:t>
            </w:r>
          </w:p>
        </w:tc>
        <w:tc>
          <w:tcPr>
            <w:tcW w:w="609" w:type="pct"/>
            <w:shd w:val="clear" w:color="auto" w:fill="auto"/>
            <w:vAlign w:val="center"/>
          </w:tcPr>
          <w:p w14:paraId="58693105">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200</w:t>
            </w:r>
          </w:p>
        </w:tc>
        <w:tc>
          <w:tcPr>
            <w:tcW w:w="657" w:type="pct"/>
            <w:vMerge w:val="continue"/>
            <w:shd w:val="clear" w:color="auto" w:fill="auto"/>
            <w:noWrap/>
            <w:vAlign w:val="center"/>
          </w:tcPr>
          <w:p w14:paraId="568A738B">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187F7676">
            <w:pPr>
              <w:tabs>
                <w:tab w:val="left" w:pos="1135"/>
              </w:tabs>
              <w:spacing w:line="240" w:lineRule="auto"/>
              <w:jc w:val="center"/>
              <w:rPr>
                <w:rFonts w:ascii="FZFSJW--GB1-0" w:hAnsi="FZFSJW--GB1-0" w:eastAsia="FZFSJW--GB1-0" w:cs="FZFSJW--GB1-0"/>
                <w:color w:val="000000"/>
                <w:sz w:val="28"/>
                <w:szCs w:val="28"/>
              </w:rPr>
            </w:pPr>
          </w:p>
        </w:tc>
      </w:tr>
      <w:tr w14:paraId="1D1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66" w:type="pct"/>
            <w:shd w:val="clear" w:color="auto" w:fill="auto"/>
            <w:vAlign w:val="center"/>
          </w:tcPr>
          <w:p w14:paraId="5AD25FC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7</w:t>
            </w:r>
          </w:p>
        </w:tc>
        <w:tc>
          <w:tcPr>
            <w:tcW w:w="1492" w:type="pct"/>
            <w:shd w:val="clear" w:color="auto" w:fill="auto"/>
            <w:vAlign w:val="center"/>
          </w:tcPr>
          <w:p w14:paraId="53B06952">
            <w:pPr>
              <w:widowControl/>
              <w:tabs>
                <w:tab w:val="left" w:pos="1135"/>
              </w:tabs>
              <w:spacing w:line="240" w:lineRule="auto"/>
              <w:jc w:val="center"/>
              <w:textAlignment w:val="center"/>
              <w:rPr>
                <w:rFonts w:hint="eastAsia" w:cs="宋体"/>
                <w:color w:val="000000"/>
                <w:sz w:val="22"/>
                <w:szCs w:val="22"/>
                <w:lang w:bidi="ar"/>
              </w:rPr>
            </w:pPr>
            <w:r>
              <w:rPr>
                <w:rFonts w:hint="eastAsia" w:cs="宋体"/>
                <w:color w:val="000000"/>
                <w:sz w:val="22"/>
                <w:szCs w:val="22"/>
                <w:lang w:bidi="ar"/>
              </w:rPr>
              <w:t>重铬酸钾（基准试剂）</w:t>
            </w:r>
          </w:p>
        </w:tc>
        <w:tc>
          <w:tcPr>
            <w:tcW w:w="713" w:type="pct"/>
            <w:shd w:val="clear" w:color="auto" w:fill="auto"/>
            <w:vAlign w:val="center"/>
          </w:tcPr>
          <w:p w14:paraId="31C55272">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瓶/年</w:t>
            </w:r>
          </w:p>
        </w:tc>
        <w:tc>
          <w:tcPr>
            <w:tcW w:w="407" w:type="pct"/>
            <w:shd w:val="clear" w:color="auto" w:fill="auto"/>
            <w:vAlign w:val="center"/>
          </w:tcPr>
          <w:p w14:paraId="79F8A937">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8</w:t>
            </w:r>
          </w:p>
        </w:tc>
        <w:tc>
          <w:tcPr>
            <w:tcW w:w="609" w:type="pct"/>
            <w:shd w:val="clear" w:color="auto" w:fill="auto"/>
            <w:vAlign w:val="center"/>
          </w:tcPr>
          <w:p w14:paraId="53809FF6">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200</w:t>
            </w:r>
          </w:p>
        </w:tc>
        <w:tc>
          <w:tcPr>
            <w:tcW w:w="657" w:type="pct"/>
            <w:vMerge w:val="continue"/>
            <w:shd w:val="clear" w:color="auto" w:fill="auto"/>
            <w:noWrap/>
            <w:vAlign w:val="center"/>
          </w:tcPr>
          <w:p w14:paraId="08857950">
            <w:pPr>
              <w:tabs>
                <w:tab w:val="left" w:pos="1135"/>
              </w:tabs>
              <w:spacing w:line="240" w:lineRule="auto"/>
              <w:jc w:val="center"/>
              <w:rPr>
                <w:rFonts w:ascii="FZFSJW--GB1-0" w:hAnsi="FZFSJW--GB1-0" w:eastAsia="FZFSJW--GB1-0" w:cs="FZFSJW--GB1-0"/>
                <w:color w:val="000000"/>
                <w:sz w:val="28"/>
                <w:szCs w:val="28"/>
              </w:rPr>
            </w:pPr>
          </w:p>
        </w:tc>
        <w:tc>
          <w:tcPr>
            <w:tcW w:w="656" w:type="pct"/>
            <w:vMerge w:val="continue"/>
          </w:tcPr>
          <w:p w14:paraId="038B967B">
            <w:pPr>
              <w:tabs>
                <w:tab w:val="left" w:pos="1135"/>
              </w:tabs>
              <w:spacing w:line="240" w:lineRule="auto"/>
              <w:jc w:val="center"/>
              <w:rPr>
                <w:rFonts w:ascii="FZFSJW--GB1-0" w:hAnsi="FZFSJW--GB1-0" w:eastAsia="FZFSJW--GB1-0" w:cs="FZFSJW--GB1-0"/>
                <w:color w:val="000000"/>
                <w:sz w:val="28"/>
                <w:szCs w:val="28"/>
              </w:rPr>
            </w:pPr>
          </w:p>
        </w:tc>
      </w:tr>
      <w:tr w14:paraId="2A72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6" w:type="pct"/>
            <w:shd w:val="clear" w:color="auto" w:fill="auto"/>
            <w:vAlign w:val="center"/>
          </w:tcPr>
          <w:p w14:paraId="565D4433">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rPr>
              <w:t>二</w:t>
            </w:r>
          </w:p>
        </w:tc>
        <w:tc>
          <w:tcPr>
            <w:tcW w:w="1492" w:type="pct"/>
            <w:shd w:val="clear" w:color="auto" w:fill="auto"/>
            <w:vAlign w:val="center"/>
          </w:tcPr>
          <w:p w14:paraId="530E4E8A">
            <w:pPr>
              <w:widowControl/>
              <w:tabs>
                <w:tab w:val="left" w:pos="1135"/>
              </w:tabs>
              <w:spacing w:line="240" w:lineRule="auto"/>
              <w:jc w:val="left"/>
              <w:textAlignment w:val="center"/>
              <w:rPr>
                <w:rFonts w:hint="eastAsia" w:cs="宋体"/>
                <w:sz w:val="22"/>
                <w:szCs w:val="22"/>
              </w:rPr>
            </w:pPr>
            <w:r>
              <w:rPr>
                <w:rFonts w:hint="eastAsia" w:cs="宋体"/>
                <w:sz w:val="22"/>
                <w:szCs w:val="22"/>
                <w:highlight w:val="yellow"/>
                <w:lang w:bidi="ar"/>
              </w:rPr>
              <w:t>维护修理（含各类备品备件）</w:t>
            </w:r>
          </w:p>
        </w:tc>
        <w:tc>
          <w:tcPr>
            <w:tcW w:w="713" w:type="pct"/>
            <w:shd w:val="clear" w:color="auto" w:fill="auto"/>
            <w:noWrap/>
            <w:vAlign w:val="center"/>
          </w:tcPr>
          <w:p w14:paraId="66E7E131">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年</w:t>
            </w:r>
          </w:p>
        </w:tc>
        <w:tc>
          <w:tcPr>
            <w:tcW w:w="407" w:type="pct"/>
            <w:shd w:val="clear" w:color="auto" w:fill="auto"/>
            <w:noWrap/>
            <w:vAlign w:val="center"/>
          </w:tcPr>
          <w:p w14:paraId="68B70591">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1</w:t>
            </w:r>
          </w:p>
        </w:tc>
        <w:tc>
          <w:tcPr>
            <w:tcW w:w="609" w:type="pct"/>
            <w:shd w:val="clear" w:color="auto" w:fill="auto"/>
            <w:vAlign w:val="center"/>
          </w:tcPr>
          <w:p w14:paraId="505D73AD">
            <w:pPr>
              <w:tabs>
                <w:tab w:val="left" w:pos="1135"/>
              </w:tabs>
              <w:spacing w:line="240" w:lineRule="auto"/>
              <w:jc w:val="center"/>
              <w:rPr>
                <w:rFonts w:hint="eastAsia" w:cs="宋体"/>
                <w:color w:val="000000"/>
                <w:sz w:val="22"/>
                <w:szCs w:val="22"/>
              </w:rPr>
            </w:pPr>
            <w:r>
              <w:rPr>
                <w:rFonts w:hint="eastAsia" w:cs="宋体"/>
                <w:color w:val="000000"/>
                <w:sz w:val="22"/>
                <w:szCs w:val="22"/>
              </w:rPr>
              <w:t>-</w:t>
            </w:r>
          </w:p>
        </w:tc>
        <w:tc>
          <w:tcPr>
            <w:tcW w:w="657" w:type="pct"/>
            <w:shd w:val="clear" w:color="auto" w:fill="auto"/>
            <w:vAlign w:val="center"/>
          </w:tcPr>
          <w:p w14:paraId="2C2B922F">
            <w:pPr>
              <w:widowControl/>
              <w:tabs>
                <w:tab w:val="left" w:pos="1135"/>
              </w:tabs>
              <w:spacing w:line="240" w:lineRule="auto"/>
              <w:jc w:val="center"/>
              <w:textAlignment w:val="center"/>
              <w:rPr>
                <w:rFonts w:hint="eastAsia" w:cs="宋体"/>
                <w:color w:val="000000"/>
                <w:sz w:val="22"/>
                <w:szCs w:val="22"/>
              </w:rPr>
            </w:pPr>
            <w:r>
              <w:rPr>
                <w:rFonts w:hint="eastAsia" w:cs="宋体"/>
                <w:color w:val="000000"/>
                <w:sz w:val="22"/>
                <w:szCs w:val="22"/>
                <w:lang w:bidi="ar"/>
              </w:rPr>
              <w:t>90</w:t>
            </w:r>
          </w:p>
        </w:tc>
        <w:tc>
          <w:tcPr>
            <w:tcW w:w="656" w:type="pct"/>
          </w:tcPr>
          <w:p w14:paraId="1E93E2DA">
            <w:pPr>
              <w:widowControl/>
              <w:tabs>
                <w:tab w:val="left" w:pos="1135"/>
              </w:tabs>
              <w:spacing w:line="240" w:lineRule="auto"/>
              <w:jc w:val="left"/>
              <w:textAlignment w:val="center"/>
              <w:rPr>
                <w:rFonts w:hint="eastAsia" w:cs="宋体"/>
                <w:color w:val="000000"/>
                <w:sz w:val="22"/>
                <w:szCs w:val="22"/>
                <w:lang w:bidi="ar"/>
              </w:rPr>
            </w:pPr>
            <w:r>
              <w:rPr>
                <w:rFonts w:hint="eastAsia" w:cs="宋体"/>
                <w:color w:val="000000"/>
                <w:sz w:val="22"/>
                <w:szCs w:val="22"/>
                <w:lang w:bidi="ar"/>
              </w:rPr>
              <w:t>暂估金额，结算时按采购人签认的认质认价和票据凭证，据实结算。</w:t>
            </w:r>
          </w:p>
        </w:tc>
      </w:tr>
    </w:tbl>
    <w:p w14:paraId="39659761">
      <w:pPr>
        <w:jc w:val="both"/>
        <w:rPr>
          <w:rFonts w:ascii="Times New Roman" w:hAnsi="Times New Roman" w:cs="Times New Roman"/>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FSJW--GB1-0">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559D2"/>
    <w:rsid w:val="5FB5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autoRedefine/>
    <w:qFormat/>
    <w:uiPriority w:val="0"/>
    <w:pPr>
      <w:numPr>
        <w:numId w:val="0"/>
      </w:numPr>
      <w:tabs>
        <w:tab w:val="left" w:pos="360"/>
        <w:tab w:val="left" w:pos="720"/>
        <w:tab w:val="left" w:pos="1135"/>
      </w:tabs>
      <w:ind w:firstLine="482" w:firstLineChars="200"/>
    </w:pPr>
    <w:rPr>
      <w:rFonts w:cs="Times New Roman" w:asciiTheme="minorEastAsia" w:hAnsiTheme="minorEastAsia" w:eastAsiaTheme="minorEastAsia"/>
    </w:rPr>
  </w:style>
  <w:style w:type="paragraph" w:customStyle="1" w:styleId="3">
    <w:name w:val="引言一级条标题"/>
    <w:basedOn w:val="1"/>
    <w:next w:val="4"/>
    <w:autoRedefine/>
    <w:qFormat/>
    <w:uiPriority w:val="0"/>
    <w:pPr>
      <w:numPr>
        <w:ilvl w:val="0"/>
        <w:numId w:val="1"/>
      </w:numPr>
      <w:tabs>
        <w:tab w:val="left" w:pos="1135"/>
      </w:tabs>
    </w:pPr>
    <w:rPr>
      <w:rFonts w:eastAsia="黑体"/>
      <w:b/>
    </w:rPr>
  </w:style>
  <w:style w:type="paragraph" w:customStyle="1" w:styleId="4">
    <w:name w:val="段"/>
    <w:qFormat/>
    <w:uiPriority w:val="0"/>
    <w:pPr>
      <w:autoSpaceDE w:val="0"/>
      <w:autoSpaceDN w:val="0"/>
      <w:spacing w:line="360" w:lineRule="auto"/>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2025-07-30T09:03:00Z</dcterms:created>
  <dc:creator>Jerry</dc:creator>
  <cp:lastModifiedBy>Jerry</cp:lastModifiedBy>
  <dcterms:modified xsi:type="dcterms:W3CDTF">2025-07-30T09:06:59Z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46B27E52B99344AD85AF7E69F1E811ED_11</vt:lpwstr>
  </property>
  <property fmtid="{D5CDD505-2E9C-101B-9397-08002B2CF9AE}" pid="4" name="KSOTemplateDocerSaveRecord">
    <vt:lpwstr>eyJoZGlkIjoiZTMzM2E2MDFkNjkwOTBiY2NjODU0M2Q1OTA0YTFhOGYiLCJ1c2VySWQiOiI2Nzg2NzcwMTIifQ==</vt:lpwstr>
  </property>
</Properties>
</file>